
<file path=[Content_Types].xml><?xml version="1.0" encoding="utf-8"?>
<Types xmlns="http://schemas.openxmlformats.org/package/2006/content-types">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塘村坞水库防洪抢险应急预案</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1  总则</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1.1  编制目的</w:t>
      </w:r>
    </w:p>
    <w:p>
      <w:pPr>
        <w:widowControl/>
        <w:pBdr>
          <w:top w:val="none" w:color="000000" w:sz="0" w:space="3"/>
          <w:left w:val="none" w:color="000000" w:sz="0" w:space="3"/>
          <w:bottom w:val="none" w:color="000000" w:sz="0" w:space="3"/>
          <w:right w:val="none" w:color="000000" w:sz="0" w:space="3"/>
        </w:pBdr>
        <w:shd w:val="clear" w:color="000000" w:fill="FFFFFF"/>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为预防灾害性水文气候和工程本身突发性重大险情和各种突发事件发生时，有效保护国家和人民生命财产安全，最大限度地防止和减轻灾害损失，保证水库安全，结合塘村坞水库自身特点和工程实际，特编制本预案。</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1.2  编制依据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《应急预案》的编制依据是《中华人民共和国防洪法》、《中华人民共和国防汛条例》、《水库大坝安全管理条例》等有关法律、法规、规章以及有关技术规范、规程和经批准的水库汛期调度运用计划。</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2  基本情况</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2.1  工程概况</w:t>
      </w:r>
    </w:p>
    <w:p>
      <w:pPr>
        <w:spacing w:line="56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该工程始建于1970年，2010年溢洪道拓宽，2013年进行除险加固达到现有规模。集雨面积1.36平方公里，总库容12.6万m3，有效库容7.6万m3，防洪库容5万m3，坝顶高程96.45米，最大坝高11米，坝顶长度81米，溢洪道底板高程94.2米，底宽5.8米，设计洪水标准20年一遇，灌溉放水采用斜管型式放水，涵管为0.8m×1 m钢筋砼涵管，灌溉面积200亩，是一座以灌溉为主，兼有防洪等综合效益的小（二）型水库。水库枢纽建筑物主要由大坝、溢洪道、灌溉引水系统和渠系工程等组成。工程等别为Ⅴ等，永久性主要建筑物为5级，次要建筑物属5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水库聘用了1名水库安全管理员负责日常管理工作，聘用了1名水库维养人员负责日常维养工作。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水库暂无主要安全问题。</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2.2  防洪调度方式</w:t>
      </w:r>
    </w:p>
    <w:p>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主汛期为4－6月，汛期限制水位94.2m；后汛期7－9月，汛期限制水位94.2m。</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1）水库未达到汛限水位的防范措施。 开展以防汛为中心的安全检查，查缺陷，查隐患，主要对大坝、溢洪道、放水设施、防汛应急物资等进行全面认真地检查，发现缺陷和问题及时组织整改处理。</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2）水库水位达到汛限水位又遭遇洪水的主要措施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a.水库防汛负责人、直接责任人、技术人员、安全管理员全部到岗到位，坚持24小时值班，并及时观测收集分析水雨情的变化情况。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b.加强巡查，保证溢洪道泄洪通畅。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c.加强与气象、水文、防汛部门的联系，及时上报水库水、雨、工情。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3）当出现险情时或出现超标准洪水的主要措施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a、水库的防汛调度工作坚决服从县、镇防指的领导和指挥。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b、一般险情，利用电话、手机等通信设备及时向县、镇防汛部门汇报，并疏散周围受影响群众。</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c、当出现较危急汛情时，抢险队伍和抢险的防汛物资及时到位。并联系当地武警、民兵及干部职工进行抢险。</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d、出现危急汛情或出现超标准洪水时立即转移下游受威胁群众，并及时把汛情汇报给当地人民政府。本村干部负责此期间的交通管制，以确保人民的生命财产和国家财产的安全。</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2.3  历史险情及抢险情况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本工程历史无险情发生。</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3  应急保障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3.1  组织保障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行政责任人：</w:t>
      </w:r>
      <w:r>
        <w:rPr>
          <w:rFonts w:hint="eastAsia" w:ascii="宋体" w:hAnsi="宋体" w:eastAsia="宋体" w:cs="宋体"/>
          <w:bCs/>
          <w:sz w:val="28"/>
          <w:szCs w:val="28"/>
        </w:rPr>
        <w:t>周奇峰</w:t>
      </w:r>
      <w:r>
        <w:rPr>
          <w:rFonts w:hint="eastAsia" w:ascii="宋体" w:hAnsi="宋体" w:eastAsia="宋体" w:cs="宋体"/>
          <w:sz w:val="28"/>
          <w:szCs w:val="28"/>
        </w:rPr>
        <w:t>，联系电话：</w:t>
      </w:r>
      <w:r>
        <w:rPr>
          <w:rFonts w:hint="eastAsia" w:ascii="宋体" w:hAnsi="宋体" w:eastAsia="宋体" w:cs="宋体"/>
          <w:bCs/>
          <w:sz w:val="28"/>
          <w:szCs w:val="28"/>
        </w:rPr>
        <w:t>13807986618</w:t>
      </w:r>
      <w:r>
        <w:rPr>
          <w:rFonts w:hint="eastAsia" w:ascii="宋体" w:hAnsi="宋体" w:eastAsia="宋体" w:cs="宋体"/>
          <w:sz w:val="28"/>
          <w:szCs w:val="28"/>
        </w:rPr>
        <w:t>，，负责督促及时处理影响安全度汛的有关问题；督促开展水库汛前及汛期安全检查；督促制订水库防洪调度运用计划及防洪抢险应急预案；督促开展防汛值守、安全监测、管理维护、雨水情工情等防汛信息监测及报送；督促执行防洪调度指令和经批准的水库防洪调度运用计划；督促落实防汛经费、抢险队伍和物资储备；组织协调、现场指挥水库防洪和抢险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直接责任人：</w:t>
      </w:r>
      <w:r>
        <w:rPr>
          <w:rFonts w:hint="eastAsia" w:ascii="宋体" w:hAnsi="宋体" w:eastAsia="宋体" w:cs="宋体"/>
          <w:bCs/>
          <w:sz w:val="28"/>
          <w:szCs w:val="28"/>
        </w:rPr>
        <w:t>翟育勇</w:t>
      </w:r>
      <w:r>
        <w:rPr>
          <w:rFonts w:hint="eastAsia" w:ascii="宋体" w:hAnsi="宋体" w:eastAsia="宋体" w:cs="宋体"/>
          <w:sz w:val="28"/>
          <w:szCs w:val="28"/>
        </w:rPr>
        <w:t>，联系电话：</w:t>
      </w:r>
      <w:r>
        <w:rPr>
          <w:rFonts w:hint="eastAsia" w:ascii="宋体" w:hAnsi="宋体" w:eastAsia="宋体" w:cs="宋体"/>
          <w:bCs/>
          <w:sz w:val="28"/>
          <w:szCs w:val="28"/>
        </w:rPr>
        <w:t>13507985038</w:t>
      </w:r>
      <w:r>
        <w:rPr>
          <w:rFonts w:hint="eastAsia" w:ascii="宋体" w:hAnsi="宋体" w:eastAsia="宋体" w:cs="宋体"/>
          <w:sz w:val="28"/>
          <w:szCs w:val="28"/>
        </w:rPr>
        <w:t>；负责执行防洪调度指令和经批准的防洪调度运用计划；负责组织水库防汛安全检查和安全隐患处置；负责组织水库防汛值守、安全监测、管理维护、雨水情工情等防汛信息监测及报送；负责落实防汛经费；负责储备防汛物资、落实抢险队伍、组织防洪应急抢险；负责按有关规定做好水库大坝安全鉴定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技术责任人：</w:t>
      </w:r>
      <w:r>
        <w:rPr>
          <w:rFonts w:hint="eastAsia" w:ascii="宋体" w:hAnsi="宋体" w:eastAsia="宋体" w:cs="宋体"/>
          <w:bCs/>
          <w:sz w:val="28"/>
          <w:szCs w:val="28"/>
        </w:rPr>
        <w:t>彭长寿</w:t>
      </w:r>
      <w:r>
        <w:rPr>
          <w:rFonts w:hint="eastAsia" w:ascii="宋体" w:hAnsi="宋体" w:eastAsia="宋体" w:cs="宋体"/>
          <w:sz w:val="28"/>
          <w:szCs w:val="28"/>
        </w:rPr>
        <w:t>，联系电话：</w:t>
      </w:r>
      <w:r>
        <w:rPr>
          <w:rFonts w:hint="eastAsia" w:ascii="宋体" w:hAnsi="宋体" w:eastAsia="宋体" w:cs="宋体"/>
          <w:bCs/>
          <w:sz w:val="28"/>
          <w:szCs w:val="28"/>
        </w:rPr>
        <w:t>13707987619</w:t>
      </w:r>
      <w:r>
        <w:rPr>
          <w:rFonts w:hint="eastAsia" w:ascii="宋体" w:hAnsi="宋体" w:eastAsia="宋体" w:cs="宋体"/>
          <w:sz w:val="28"/>
          <w:szCs w:val="28"/>
        </w:rPr>
        <w:t>；负责制订水库防洪调度运用计划及防洪抢险应急预案；负责组织制定水库险情应急处置方案；负责指导水库洪水预测预报工作。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巡查责任人：甘志新，联系电话：13879882131；负责水雨情的观测和报汛工作；负责按要求对工程进行巡查，发现隐患或险情立即报告水库行政责任人；负责水库坝容坝貌和现场防汛物料管理；负责执行防洪调度指令和经批准的防洪调度运用计划。</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成立塘村坞水库应急抢险临时指挥部，镇党委委员副镇长</w:t>
      </w:r>
      <w:r>
        <w:rPr>
          <w:rFonts w:hint="eastAsia" w:ascii="宋体" w:hAnsi="宋体" w:eastAsia="宋体" w:cs="宋体"/>
          <w:bCs/>
          <w:sz w:val="28"/>
          <w:szCs w:val="28"/>
        </w:rPr>
        <w:t>翟育勇</w:t>
      </w:r>
      <w:r>
        <w:rPr>
          <w:rFonts w:hint="eastAsia" w:ascii="宋体" w:hAnsi="宋体" w:eastAsia="宋体" w:cs="宋体"/>
          <w:sz w:val="28"/>
          <w:szCs w:val="28"/>
        </w:rPr>
        <w:t>任指挥，联系电话：</w:t>
      </w:r>
      <w:r>
        <w:rPr>
          <w:rFonts w:hint="eastAsia" w:ascii="宋体" w:hAnsi="宋体" w:eastAsia="宋体" w:cs="宋体"/>
          <w:bCs/>
          <w:sz w:val="28"/>
          <w:szCs w:val="28"/>
        </w:rPr>
        <w:t>13507985038</w:t>
      </w:r>
      <w:r>
        <w:rPr>
          <w:rFonts w:hint="eastAsia" w:ascii="宋体" w:hAnsi="宋体" w:eastAsia="宋体" w:cs="宋体"/>
          <w:sz w:val="28"/>
          <w:szCs w:val="28"/>
        </w:rPr>
        <w:t>；负责组织协调、现场指挥水库防洪和抢险工作；成员有：甘志新，联系电话：13879882131负责信息监测；王丽丽13767921115负责转移安置；钱玉霞（电话：15179810113）负责临时生活保障；杨家发（电话：13979820365）负责组织应急抢险队伍。</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3.2  队伍保障</w:t>
      </w:r>
    </w:p>
    <w:p>
      <w:pPr>
        <w:spacing w:line="56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队长由前程村主任杨家发担任，（电话：13979820365），并负责召集务工在家的村干部、组干部、党员、民兵及青壮年劳动力等30人。 </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3.3  物资保障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现场储备砂卵石10方、块石5方、编织袋150只、木头10根等应急抢险物资，管理人员甘志新，联系电话：13879882131。</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3.4  其它保障</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通信、交通、电力保障措施分别由通信、交通、电力单位做好抢修保障工作。前程村委会负责组织汛前防洪抢险演练。</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4  巡查与险情处置</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4.1  巡查与险情报告</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4.1.1工程安排专人管理,监测、巡查、重点巡查库水位、大坝是否有漏水，溢洪道是否畅通，涵管是否漏水。汛期每天查一次，遇到下雨天要增加巡查次数，下强降雨时要24小时有人值班巡查。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4.1.2平时的监测、巡查由水库管理员负责，并将每天巡查情况记录在册。下强降雨时由受益村负责人组织增加巡查人员。发现险情立即报告镇防指，如遇无法判断处理的险情，由镇防指及时向县防指汇报，并要求专家会诊，做到准确、科学地处理险情。</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4.2  险情处置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水库巡查人员发现险情后，立即报告水库直接责任人及行政责任人；应急抢险临时指挥部制定水库险情处置方案，组织抢险队伍实施抢险。险情处置完毕后，安排人员值守监测。</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若险情将威胁大坝安全，做好下游危险区人员转移安置准备。</w:t>
      </w:r>
    </w:p>
    <w:p>
      <w:pPr>
        <w:ind w:firstLine="562" w:firstLineChars="200"/>
        <w:outlineLvl w:val="0"/>
        <w:rPr>
          <w:rFonts w:hint="eastAsia" w:ascii="宋体" w:hAnsi="宋体" w:eastAsia="宋体" w:cs="宋体"/>
          <w:b/>
          <w:sz w:val="28"/>
          <w:szCs w:val="28"/>
        </w:rPr>
      </w:pPr>
      <w:r>
        <w:rPr>
          <w:rFonts w:hint="eastAsia" w:ascii="宋体" w:hAnsi="宋体" w:eastAsia="宋体" w:cs="宋体"/>
          <w:b/>
          <w:sz w:val="28"/>
          <w:szCs w:val="28"/>
        </w:rPr>
        <w:t>5、超标准洪水与溃坝洪水防御方案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 xml:space="preserve">5.1  超标准洪水防御方案 </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当水库上游流域内发生超标准洪水时，水库以保坝为原则，采取果断措施，排泄库内洪水，使洪水不漫坝，确保大坝安全。同时及时向县防汛指挥机构汇报，通知有关部门及时组织抢险队伍，按照防洪预案的具体要求，进行工程抢险及人员财产转移工作。当遇紧急情况时，及时发出紧急警报信号，同时，通过广播、电话等新闻媒体播送紧急通知，此时，防汛进入紧急状态。</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5.2  溃坝洪水防御方案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1、若遇特大暴雨，水库水位上涨迅速，坝体发生异常，水库有溃坝迹象而又无法控制时，立即上报上级防汛部门，并立即与下游各级防汛单位取得联系，做好人员转移安置的准备工作。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2、水库即将溃坝，由镇政府有组织地做好受淹地区人员的转移安置工作。并通过有线广播、电话和各种通讯工具通知水库下游沿河各村、组，迅速转移低洼地区的人员和财产。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3、抢险队伍按照部署全部到位，做好抢险准备。</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4、防汛救灾物资准备齐全，防汛车辆全部到位。确保通往水库的道路畅通。</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5、配备好二种以上的通讯设备，随时保持与外界的联系。</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6人员转移与安置</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水库下游危险区范围有小花桥小组，户数80户，人口285人；转移安置负责人: 王丽丽13767921115；转移路线：就近；安置点：村后高地农户家；人员转移命令方式：鸣锣。</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7附图和附表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图1. 水库地理位置示意图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注：若下游有重要设施或重要保护对象，在图中予以标注。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图2. 水库枢纽平面布置图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图3. 人员转移安置示意图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附表：</w:t>
      </w:r>
      <w:r>
        <w:rPr>
          <w:rFonts w:hint="eastAsia" w:ascii="宋体" w:hAnsi="宋体" w:eastAsia="宋体" w:cs="宋体"/>
          <w:sz w:val="28"/>
          <w:szCs w:val="28"/>
          <w:u w:val="single"/>
        </w:rPr>
        <w:t>2024</w:t>
      </w:r>
      <w:r>
        <w:rPr>
          <w:rFonts w:hint="eastAsia" w:ascii="宋体" w:hAnsi="宋体" w:eastAsia="宋体" w:cs="宋体"/>
          <w:sz w:val="28"/>
          <w:szCs w:val="28"/>
        </w:rPr>
        <w:t>年</w:t>
      </w:r>
      <w:r>
        <w:rPr>
          <w:rFonts w:hint="eastAsia" w:ascii="宋体" w:hAnsi="宋体" w:eastAsia="宋体" w:cs="宋体"/>
          <w:sz w:val="28"/>
          <w:szCs w:val="28"/>
          <w:u w:val="single"/>
        </w:rPr>
        <w:t>塘村坞</w:t>
      </w:r>
      <w:r>
        <w:rPr>
          <w:rFonts w:hint="eastAsia" w:ascii="宋体" w:hAnsi="宋体" w:eastAsia="宋体" w:cs="宋体"/>
          <w:sz w:val="28"/>
          <w:szCs w:val="28"/>
        </w:rPr>
        <w:t>水库防洪抢险应急预案简表</w:t>
      </w:r>
    </w:p>
    <w:p>
      <w:pPr>
        <w:spacing w:line="240" w:lineRule="auto"/>
        <w:jc w:val="center"/>
        <w:rPr>
          <w:rFonts w:ascii="仿宋" w:hAnsi="仿宋" w:eastAsia="仿宋" w:cs="Times New Roman"/>
          <w:sz w:val="28"/>
          <w:szCs w:val="28"/>
        </w:rPr>
      </w:pPr>
      <w:r>
        <w:drawing>
          <wp:inline distT="0" distB="0" distL="114300" distR="114300">
            <wp:extent cx="5262880" cy="3168650"/>
            <wp:effectExtent l="0" t="0" r="0" b="0"/>
            <wp:docPr id="1" name="图片模式1"/>
            <wp:cNvGraphicFramePr/>
            <a:graphic xmlns:a="http://schemas.openxmlformats.org/drawingml/2006/main">
              <a:graphicData uri="http://schemas.openxmlformats.org/drawingml/2006/picture">
                <pic:pic xmlns:pic="http://schemas.openxmlformats.org/drawingml/2006/picture">
                  <pic:nvPicPr>
                    <pic:cNvPr id="1" name="图片模式1"/>
                    <pic:cNvPicPr/>
                  </pic:nvPicPr>
                  <pic:blipFill>
                    <a:blip r:embed="rId6" cstate="print"/>
                    <a:stretch>
                      <a:fillRect/>
                    </a:stretch>
                  </pic:blipFill>
                  <pic:spPr>
                    <a:xfrm>
                      <a:off x="0" y="0"/>
                      <a:ext cx="5262880" cy="3168650"/>
                    </a:xfrm>
                    <a:prstGeom prst="rect">
                      <a:avLst/>
                    </a:prstGeom>
                    <a:noFill/>
                    <a:ln w="12700">
                      <a:noFill/>
                    </a:ln>
                  </pic:spPr>
                </pic:pic>
              </a:graphicData>
            </a:graphic>
          </wp:inline>
        </w:drawing>
      </w:r>
    </w:p>
    <w:p>
      <w:pPr>
        <w:jc w:val="center"/>
      </w:pPr>
      <w:r>
        <w:rPr>
          <w:rFonts w:hint="eastAsia" w:ascii="仿宋" w:hAnsi="仿宋" w:eastAsia="仿宋"/>
          <w:sz w:val="28"/>
          <w:szCs w:val="28"/>
        </w:rPr>
        <w:t>水库地理位置示意图</w:t>
      </w:r>
      <w:r>
        <w:drawing>
          <wp:inline distT="0" distB="0" distL="0" distR="0">
            <wp:extent cx="5528945" cy="4433570"/>
            <wp:effectExtent l="0" t="0" r="0" b="0"/>
            <wp:docPr id="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2"/>
                    <pic:cNvPicPr>
                      <a:picLocks noChangeAspect="1"/>
                    </pic:cNvPicPr>
                  </pic:nvPicPr>
                  <pic:blipFill>
                    <a:blip r:embed="rId7" cstate="print"/>
                    <a:srcRect l="33930" t="42020" r="40890" b="14000"/>
                    <a:stretch>
                      <a:fillRect/>
                    </a:stretch>
                  </pic:blipFill>
                  <pic:spPr>
                    <a:xfrm>
                      <a:off x="0" y="0"/>
                      <a:ext cx="5528945" cy="4433570"/>
                    </a:xfrm>
                    <a:prstGeom prst="rect">
                      <a:avLst/>
                    </a:prstGeom>
                    <a:noFill/>
                    <a:ln w="12700">
                      <a:noFill/>
                    </a:ln>
                  </pic:spPr>
                </pic:pic>
              </a:graphicData>
            </a:graphic>
          </wp:inline>
        </w:drawing>
      </w:r>
    </w:p>
    <w:p>
      <w:pPr>
        <w:widowControl/>
        <w:jc w:val="center"/>
        <w:rPr>
          <w:sz w:val="28"/>
          <w:szCs w:val="28"/>
        </w:rPr>
      </w:pPr>
      <w:r>
        <w:rPr>
          <w:sz w:val="28"/>
          <w:szCs w:val="28"/>
        </w:rPr>
        <w:t>塘村坞水库平面布置图</w:t>
      </w: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spacing w:line="560" w:lineRule="exact"/>
        <w:jc w:val="center"/>
        <w:rPr>
          <w:rFonts w:ascii="仿宋" w:hAnsi="仿宋" w:eastAsia="仿宋" w:cs="Times New Roman"/>
          <w:sz w:val="28"/>
          <w:szCs w:val="28"/>
        </w:rPr>
      </w:pPr>
    </w:p>
    <w:p>
      <w:pPr>
        <w:jc w:val="left"/>
        <w:rPr>
          <w:b/>
          <w:sz w:val="36"/>
          <w:szCs w:val="36"/>
        </w:rPr>
      </w:pPr>
      <w:r>
        <w:drawing>
          <wp:inline distT="0" distB="0" distL="0" distR="0">
            <wp:extent cx="5274310" cy="3475990"/>
            <wp:effectExtent l="0" t="0" r="0" b="0"/>
            <wp:docPr id="3"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8"/>
                    <pic:cNvPicPr>
                      <a:picLocks noChangeAspect="1"/>
                    </pic:cNvPicPr>
                  </pic:nvPicPr>
                  <pic:blipFill>
                    <a:blip r:embed="rId8" cstate="print"/>
                    <a:stretch>
                      <a:fillRect/>
                    </a:stretch>
                  </pic:blipFill>
                  <pic:spPr>
                    <a:xfrm>
                      <a:off x="0" y="0"/>
                      <a:ext cx="5274310" cy="3475990"/>
                    </a:xfrm>
                    <a:prstGeom prst="rect">
                      <a:avLst/>
                    </a:prstGeom>
                    <a:noFill/>
                    <a:ln w="12700">
                      <a:noFill/>
                    </a:ln>
                  </pic:spPr>
                </pic:pic>
              </a:graphicData>
            </a:graphic>
          </wp:inline>
        </w:drawing>
      </w:r>
    </w:p>
    <w:p>
      <w:pPr>
        <w:jc w:val="center"/>
        <w:rPr>
          <w:b/>
          <w:sz w:val="36"/>
          <w:szCs w:val="36"/>
        </w:rPr>
      </w:pPr>
      <w:r>
        <w:rPr>
          <w:b/>
          <w:sz w:val="36"/>
          <w:szCs w:val="36"/>
        </w:rPr>
        <w:t>塘村坞水库人员转移安置图</w:t>
      </w:r>
    </w:p>
    <w:p>
      <w:pPr>
        <w:spacing w:line="560" w:lineRule="exact"/>
        <w:jc w:val="center"/>
        <w:rPr>
          <w:rFonts w:ascii="仿宋" w:hAnsi="仿宋" w:eastAsia="仿宋" w:cs="Times New Roman"/>
          <w:sz w:val="28"/>
          <w:szCs w:val="28"/>
        </w:rPr>
      </w:pPr>
    </w:p>
    <w:p>
      <w:pPr>
        <w:sectPr>
          <w:endnotePr>
            <w:numFmt w:val="decimal"/>
          </w:endnotePr>
          <w:pgSz w:w="11906" w:h="16838"/>
          <w:pgMar w:top="1440" w:right="1800" w:bottom="1440" w:left="1800" w:header="720" w:footer="720" w:gutter="0"/>
          <w:pgNumType w:start="56"/>
          <w:cols w:space="720" w:num="1"/>
        </w:sectPr>
      </w:pPr>
    </w:p>
    <w:tbl>
      <w:tblPr>
        <w:tblStyle w:val="5"/>
        <w:tblW w:w="15164" w:type="dxa"/>
        <w:jc w:val="center"/>
        <w:tblLayout w:type="autofit"/>
        <w:tblCellMar>
          <w:top w:w="0" w:type="dxa"/>
          <w:left w:w="10" w:type="dxa"/>
          <w:bottom w:w="0" w:type="dxa"/>
          <w:right w:w="10" w:type="dxa"/>
        </w:tblCellMar>
      </w:tblPr>
      <w:tblGrid>
        <w:gridCol w:w="436"/>
        <w:gridCol w:w="953"/>
        <w:gridCol w:w="33"/>
        <w:gridCol w:w="34"/>
        <w:gridCol w:w="329"/>
        <w:gridCol w:w="331"/>
        <w:gridCol w:w="95"/>
        <w:gridCol w:w="60"/>
        <w:gridCol w:w="1157"/>
        <w:gridCol w:w="425"/>
        <w:gridCol w:w="1020"/>
        <w:gridCol w:w="61"/>
        <w:gridCol w:w="1071"/>
        <w:gridCol w:w="135"/>
        <w:gridCol w:w="461"/>
        <w:gridCol w:w="1420"/>
        <w:gridCol w:w="1092"/>
        <w:gridCol w:w="197"/>
        <w:gridCol w:w="1067"/>
        <w:gridCol w:w="305"/>
        <w:gridCol w:w="1261"/>
        <w:gridCol w:w="160"/>
        <w:gridCol w:w="230"/>
        <w:gridCol w:w="378"/>
        <w:gridCol w:w="281"/>
        <w:gridCol w:w="344"/>
        <w:gridCol w:w="277"/>
        <w:gridCol w:w="382"/>
        <w:gridCol w:w="1169"/>
      </w:tblGrid>
      <w:tr>
        <w:tblPrEx>
          <w:tblCellMar>
            <w:top w:w="0" w:type="dxa"/>
            <w:left w:w="10" w:type="dxa"/>
            <w:bottom w:w="0" w:type="dxa"/>
            <w:right w:w="10" w:type="dxa"/>
          </w:tblCellMar>
        </w:tblPrEx>
        <w:trPr>
          <w:trHeight w:val="465" w:hRule="atLeast"/>
          <w:jc w:val="center"/>
        </w:trPr>
        <w:tc>
          <w:tcPr>
            <w:tcW w:w="15164" w:type="dxa"/>
            <w:gridSpan w:val="29"/>
            <w:tcBorders>
              <w:top w:val="nil"/>
              <w:left w:val="nil"/>
              <w:bottom w:val="nil"/>
              <w:right w:val="nil"/>
            </w:tcBorders>
            <w:tcMar>
              <w:top w:w="0" w:type="dxa"/>
              <w:left w:w="108" w:type="dxa"/>
              <w:bottom w:w="0" w:type="dxa"/>
              <w:right w:w="108" w:type="dxa"/>
            </w:tcMar>
            <w:vAlign w:val="center"/>
          </w:tcPr>
          <w:p>
            <w:pPr>
              <w:spacing w:line="500" w:lineRule="exact"/>
              <w:jc w:val="center"/>
              <w:rPr>
                <w:rFonts w:hint="eastAsia" w:ascii="仿宋" w:hAnsi="仿宋" w:eastAsia="仿宋" w:cs="仿宋"/>
                <w:sz w:val="36"/>
                <w:szCs w:val="36"/>
              </w:rPr>
            </w:pPr>
            <w:r>
              <w:rPr>
                <w:rFonts w:hint="eastAsia" w:ascii="仿宋" w:hAnsi="仿宋" w:eastAsia="仿宋" w:cs="仿宋"/>
                <w:sz w:val="36"/>
                <w:szCs w:val="36"/>
                <w:u w:val="single"/>
              </w:rPr>
              <w:t>2024</w:t>
            </w:r>
            <w:r>
              <w:rPr>
                <w:rFonts w:hint="eastAsia" w:ascii="仿宋" w:hAnsi="仿宋" w:eastAsia="仿宋" w:cs="仿宋"/>
                <w:sz w:val="36"/>
                <w:szCs w:val="36"/>
              </w:rPr>
              <w:t>年</w:t>
            </w:r>
            <w:r>
              <w:rPr>
                <w:rFonts w:hint="eastAsia" w:ascii="仿宋" w:hAnsi="仿宋" w:eastAsia="仿宋" w:cs="仿宋"/>
                <w:sz w:val="36"/>
                <w:szCs w:val="36"/>
                <w:u w:val="single"/>
              </w:rPr>
              <w:t>塘村坞</w:t>
            </w:r>
            <w:r>
              <w:rPr>
                <w:rFonts w:hint="eastAsia" w:ascii="仿宋" w:hAnsi="仿宋" w:eastAsia="仿宋" w:cs="仿宋"/>
                <w:sz w:val="36"/>
                <w:szCs w:val="36"/>
              </w:rPr>
              <w:t>水库防洪抢险应急预案简表</w:t>
            </w:r>
          </w:p>
        </w:tc>
      </w:tr>
      <w:tr>
        <w:tblPrEx>
          <w:tblCellMar>
            <w:top w:w="0" w:type="dxa"/>
            <w:left w:w="10" w:type="dxa"/>
            <w:bottom w:w="0" w:type="dxa"/>
            <w:right w:w="10" w:type="dxa"/>
          </w:tblCellMar>
        </w:tblPrEx>
        <w:trPr>
          <w:trHeight w:val="762" w:hRule="atLeast"/>
          <w:jc w:val="center"/>
        </w:trPr>
        <w:tc>
          <w:tcPr>
            <w:tcW w:w="15164" w:type="dxa"/>
            <w:gridSpan w:val="29"/>
            <w:tcBorders>
              <w:top w:val="nil"/>
              <w:left w:val="nil"/>
              <w:bottom w:val="nil"/>
              <w:right w:val="nil"/>
            </w:tcBorders>
            <w:tcMar>
              <w:top w:w="0" w:type="dxa"/>
              <w:left w:w="108" w:type="dxa"/>
              <w:bottom w:w="0" w:type="dxa"/>
              <w:right w:w="108" w:type="dxa"/>
            </w:tcMar>
            <w:vAlign w:val="center"/>
          </w:tcPr>
          <w:p>
            <w:pPr>
              <w:spacing w:line="500" w:lineRule="exact"/>
              <w:jc w:val="center"/>
              <w:rPr>
                <w:rFonts w:hint="eastAsia" w:ascii="仿宋" w:hAnsi="仿宋" w:eastAsia="仿宋" w:cs="仿宋"/>
                <w:b/>
                <w:bCs/>
                <w:sz w:val="22"/>
                <w:szCs w:val="22"/>
              </w:rPr>
            </w:pPr>
            <w:r>
              <w:rPr>
                <w:rFonts w:hint="eastAsia" w:ascii="仿宋" w:hAnsi="仿宋" w:eastAsia="仿宋" w:cs="仿宋"/>
                <w:b/>
                <w:bCs/>
                <w:sz w:val="22"/>
                <w:szCs w:val="22"/>
              </w:rPr>
              <w:t>所在县（市、区）：浮梁县      位置：湘湖镇前程村          所在流域及水系：饶河昌江支流南河        高程系统：  黄海高程</w:t>
            </w:r>
          </w:p>
        </w:tc>
      </w:tr>
      <w:tr>
        <w:tblPrEx>
          <w:tblCellMar>
            <w:top w:w="0" w:type="dxa"/>
            <w:left w:w="10" w:type="dxa"/>
            <w:bottom w:w="0" w:type="dxa"/>
            <w:right w:w="10" w:type="dxa"/>
          </w:tblCellMar>
        </w:tblPrEx>
        <w:trPr>
          <w:trHeight w:val="665" w:hRule="atLeast"/>
          <w:jc w:val="center"/>
        </w:trPr>
        <w:tc>
          <w:tcPr>
            <w:tcW w:w="436"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工程特性</w:t>
            </w:r>
          </w:p>
        </w:tc>
        <w:tc>
          <w:tcPr>
            <w:tcW w:w="102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规模</w:t>
            </w:r>
          </w:p>
        </w:tc>
        <w:tc>
          <w:tcPr>
            <w:tcW w:w="755"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主坝类型</w:t>
            </w:r>
          </w:p>
        </w:tc>
        <w:tc>
          <w:tcPr>
            <w:tcW w:w="2723"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管理机构</w:t>
            </w:r>
          </w:p>
        </w:tc>
        <w:tc>
          <w:tcPr>
            <w:tcW w:w="107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集雨面积（km</w:t>
            </w:r>
            <w:r>
              <w:rPr>
                <w:rFonts w:hint="eastAsia" w:ascii="仿宋" w:hAnsi="仿宋" w:eastAsia="仿宋" w:cs="仿宋"/>
                <w:sz w:val="22"/>
                <w:szCs w:val="22"/>
                <w:vertAlign w:val="superscript"/>
              </w:rPr>
              <w:t>2</w:t>
            </w:r>
            <w:r>
              <w:rPr>
                <w:rFonts w:hint="eastAsia" w:ascii="仿宋" w:hAnsi="仿宋" w:eastAsia="仿宋" w:cs="仿宋"/>
                <w:sz w:val="22"/>
                <w:szCs w:val="22"/>
              </w:rPr>
              <w:t>）</w:t>
            </w:r>
          </w:p>
        </w:tc>
        <w:tc>
          <w:tcPr>
            <w:tcW w:w="201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总库容（万m</w:t>
            </w:r>
            <w:r>
              <w:rPr>
                <w:rFonts w:hint="eastAsia" w:ascii="仿宋" w:hAnsi="仿宋" w:eastAsia="仿宋" w:cs="仿宋"/>
                <w:sz w:val="22"/>
                <w:szCs w:val="22"/>
                <w:vertAlign w:val="superscript"/>
              </w:rPr>
              <w:t>3</w:t>
            </w:r>
            <w:r>
              <w:rPr>
                <w:rFonts w:hint="eastAsia" w:ascii="仿宋" w:hAnsi="仿宋" w:eastAsia="仿宋" w:cs="仿宋"/>
                <w:sz w:val="22"/>
                <w:szCs w:val="22"/>
              </w:rPr>
              <w:t>）</w:t>
            </w:r>
          </w:p>
        </w:tc>
        <w:tc>
          <w:tcPr>
            <w:tcW w:w="1289"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汛限水位（主/后）</w:t>
            </w:r>
          </w:p>
        </w:tc>
        <w:tc>
          <w:tcPr>
            <w:tcW w:w="137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正常蓄水位</w:t>
            </w:r>
          </w:p>
        </w:tc>
        <w:tc>
          <w:tcPr>
            <w:tcW w:w="142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设计洪水标准</w:t>
            </w:r>
          </w:p>
        </w:tc>
        <w:tc>
          <w:tcPr>
            <w:tcW w:w="889"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设计洪水位</w:t>
            </w:r>
          </w:p>
        </w:tc>
        <w:tc>
          <w:tcPr>
            <w:tcW w:w="1003"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校核洪水标准</w:t>
            </w:r>
          </w:p>
        </w:tc>
        <w:tc>
          <w:tcPr>
            <w:tcW w:w="116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校核洪水位</w:t>
            </w:r>
          </w:p>
        </w:tc>
      </w:tr>
      <w:tr>
        <w:tblPrEx>
          <w:tblCellMar>
            <w:top w:w="0" w:type="dxa"/>
            <w:left w:w="10" w:type="dxa"/>
            <w:bottom w:w="0" w:type="dxa"/>
            <w:right w:w="10" w:type="dxa"/>
          </w:tblCellMar>
        </w:tblPrEx>
        <w:trPr>
          <w:trHeight w:val="714" w:hRule="atLeast"/>
          <w:jc w:val="center"/>
        </w:trPr>
        <w:tc>
          <w:tcPr>
            <w:tcW w:w="43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2"/>
                <w:szCs w:val="22"/>
              </w:rPr>
            </w:pPr>
          </w:p>
        </w:tc>
        <w:tc>
          <w:tcPr>
            <w:tcW w:w="1020"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小（二）型</w:t>
            </w:r>
          </w:p>
        </w:tc>
        <w:tc>
          <w:tcPr>
            <w:tcW w:w="755"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斜墙土坝</w:t>
            </w:r>
          </w:p>
        </w:tc>
        <w:tc>
          <w:tcPr>
            <w:tcW w:w="2723"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湘湖镇人民政府</w:t>
            </w:r>
          </w:p>
        </w:tc>
        <w:tc>
          <w:tcPr>
            <w:tcW w:w="1071"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1.36</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12.6</w:t>
            </w:r>
          </w:p>
        </w:tc>
        <w:tc>
          <w:tcPr>
            <w:tcW w:w="1289"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94.2</w:t>
            </w:r>
            <w:bookmarkStart w:id="0" w:name="_GoBack"/>
            <w:bookmarkEnd w:id="0"/>
          </w:p>
        </w:tc>
        <w:tc>
          <w:tcPr>
            <w:tcW w:w="137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94.2</w:t>
            </w:r>
          </w:p>
        </w:tc>
        <w:tc>
          <w:tcPr>
            <w:tcW w:w="142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5%</w:t>
            </w:r>
          </w:p>
        </w:tc>
        <w:tc>
          <w:tcPr>
            <w:tcW w:w="889"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96.29</w:t>
            </w:r>
          </w:p>
        </w:tc>
        <w:tc>
          <w:tcPr>
            <w:tcW w:w="1003"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0.5%</w:t>
            </w:r>
          </w:p>
        </w:tc>
        <w:tc>
          <w:tcPr>
            <w:tcW w:w="1169"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96.65</w:t>
            </w:r>
          </w:p>
        </w:tc>
      </w:tr>
      <w:tr>
        <w:tblPrEx>
          <w:tblCellMar>
            <w:top w:w="0" w:type="dxa"/>
            <w:left w:w="10" w:type="dxa"/>
            <w:bottom w:w="0" w:type="dxa"/>
            <w:right w:w="10" w:type="dxa"/>
          </w:tblCellMar>
        </w:tblPrEx>
        <w:trPr>
          <w:trHeight w:val="443" w:hRule="atLeast"/>
          <w:jc w:val="center"/>
        </w:trPr>
        <w:tc>
          <w:tcPr>
            <w:tcW w:w="436"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防汛责任人</w:t>
            </w:r>
          </w:p>
        </w:tc>
        <w:tc>
          <w:tcPr>
            <w:tcW w:w="3417"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行政责任人</w:t>
            </w:r>
          </w:p>
        </w:tc>
        <w:tc>
          <w:tcPr>
            <w:tcW w:w="4168"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直接责任人</w:t>
            </w:r>
          </w:p>
        </w:tc>
        <w:tc>
          <w:tcPr>
            <w:tcW w:w="3922"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技术责任人</w:t>
            </w:r>
          </w:p>
        </w:tc>
        <w:tc>
          <w:tcPr>
            <w:tcW w:w="3221" w:type="dxa"/>
            <w:gridSpan w:val="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巡查责任人</w:t>
            </w:r>
          </w:p>
        </w:tc>
      </w:tr>
      <w:tr>
        <w:tblPrEx>
          <w:tblCellMar>
            <w:top w:w="0" w:type="dxa"/>
            <w:left w:w="10" w:type="dxa"/>
            <w:bottom w:w="0" w:type="dxa"/>
            <w:right w:w="10" w:type="dxa"/>
          </w:tblCellMar>
        </w:tblPrEx>
        <w:trPr>
          <w:trHeight w:val="616"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2"/>
                <w:szCs w:val="22"/>
              </w:rPr>
            </w:pPr>
          </w:p>
        </w:tc>
        <w:tc>
          <w:tcPr>
            <w:tcW w:w="986"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849"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158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020"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13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289"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067"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单位及职务</w:t>
            </w:r>
          </w:p>
        </w:tc>
        <w:tc>
          <w:tcPr>
            <w:tcW w:w="1566"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76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902"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155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r>
      <w:tr>
        <w:tblPrEx>
          <w:tblCellMar>
            <w:top w:w="0" w:type="dxa"/>
            <w:left w:w="10" w:type="dxa"/>
            <w:bottom w:w="0" w:type="dxa"/>
            <w:right w:w="10" w:type="dxa"/>
          </w:tblCellMar>
        </w:tblPrEx>
        <w:trPr>
          <w:trHeight w:val="629"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2"/>
                <w:szCs w:val="22"/>
              </w:rPr>
            </w:pPr>
          </w:p>
        </w:tc>
        <w:tc>
          <w:tcPr>
            <w:tcW w:w="986"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周奇峰</w:t>
            </w:r>
          </w:p>
        </w:tc>
        <w:tc>
          <w:tcPr>
            <w:tcW w:w="849" w:type="dxa"/>
            <w:gridSpan w:val="5"/>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湘湖镇人民政府镇长</w:t>
            </w:r>
          </w:p>
        </w:tc>
        <w:tc>
          <w:tcPr>
            <w:tcW w:w="158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13807986618</w:t>
            </w:r>
          </w:p>
        </w:tc>
        <w:tc>
          <w:tcPr>
            <w:tcW w:w="1020" w:type="dxa"/>
            <w:tcBorders>
              <w:top w:val="nil"/>
              <w:left w:val="nil"/>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bCs/>
                <w:sz w:val="22"/>
                <w:szCs w:val="22"/>
              </w:rPr>
            </w:pPr>
            <w:r>
              <w:rPr>
                <w:rFonts w:hint="eastAsia" w:ascii="仿宋" w:hAnsi="仿宋" w:eastAsia="仿宋" w:cs="仿宋"/>
                <w:bCs/>
                <w:sz w:val="22"/>
                <w:szCs w:val="22"/>
              </w:rPr>
              <w:t>翟育勇</w:t>
            </w:r>
          </w:p>
        </w:tc>
        <w:tc>
          <w:tcPr>
            <w:tcW w:w="113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bCs/>
                <w:sz w:val="22"/>
                <w:szCs w:val="22"/>
              </w:rPr>
            </w:pPr>
            <w:r>
              <w:rPr>
                <w:rFonts w:hint="eastAsia" w:ascii="仿宋" w:hAnsi="仿宋" w:eastAsia="仿宋" w:cs="仿宋"/>
                <w:bCs/>
                <w:sz w:val="22"/>
                <w:szCs w:val="22"/>
              </w:rPr>
              <w:t>副镇长</w:t>
            </w:r>
          </w:p>
        </w:tc>
        <w:tc>
          <w:tcPr>
            <w:tcW w:w="20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ind w:right="480"/>
              <w:jc w:val="center"/>
              <w:rPr>
                <w:rFonts w:hint="eastAsia" w:ascii="仿宋" w:hAnsi="仿宋" w:eastAsia="仿宋" w:cs="仿宋"/>
                <w:sz w:val="22"/>
                <w:szCs w:val="22"/>
              </w:rPr>
            </w:pPr>
            <w:r>
              <w:rPr>
                <w:rFonts w:hint="eastAsia" w:ascii="仿宋" w:hAnsi="仿宋" w:eastAsia="仿宋" w:cs="仿宋"/>
                <w:bCs/>
                <w:sz w:val="22"/>
                <w:szCs w:val="22"/>
              </w:rPr>
              <w:t>13507985038</w:t>
            </w:r>
          </w:p>
        </w:tc>
        <w:tc>
          <w:tcPr>
            <w:tcW w:w="1289"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bCs/>
                <w:sz w:val="22"/>
                <w:szCs w:val="22"/>
              </w:rPr>
            </w:pPr>
            <w:r>
              <w:rPr>
                <w:rFonts w:hint="eastAsia" w:ascii="仿宋" w:hAnsi="仿宋" w:eastAsia="仿宋" w:cs="仿宋"/>
                <w:bCs/>
                <w:sz w:val="22"/>
                <w:szCs w:val="22"/>
              </w:rPr>
              <w:t>彭长寿</w:t>
            </w:r>
          </w:p>
        </w:tc>
        <w:tc>
          <w:tcPr>
            <w:tcW w:w="1067" w:type="dxa"/>
            <w:tcBorders>
              <w:top w:val="nil"/>
              <w:left w:val="nil"/>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2"/>
                <w:szCs w:val="22"/>
              </w:rPr>
            </w:pPr>
            <w:r>
              <w:rPr>
                <w:rFonts w:hint="eastAsia" w:ascii="仿宋" w:hAnsi="仿宋" w:eastAsia="仿宋" w:cs="仿宋"/>
                <w:bCs/>
                <w:sz w:val="22"/>
                <w:szCs w:val="22"/>
              </w:rPr>
              <w:t>水利负责人</w:t>
            </w:r>
          </w:p>
        </w:tc>
        <w:tc>
          <w:tcPr>
            <w:tcW w:w="1566"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13707987619</w:t>
            </w:r>
          </w:p>
        </w:tc>
        <w:tc>
          <w:tcPr>
            <w:tcW w:w="76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甘志新</w:t>
            </w:r>
          </w:p>
        </w:tc>
        <w:tc>
          <w:tcPr>
            <w:tcW w:w="902"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水库安全管理员</w:t>
            </w:r>
          </w:p>
        </w:tc>
        <w:tc>
          <w:tcPr>
            <w:tcW w:w="155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13879882131</w:t>
            </w:r>
          </w:p>
        </w:tc>
      </w:tr>
      <w:tr>
        <w:tblPrEx>
          <w:tblCellMar>
            <w:top w:w="0" w:type="dxa"/>
            <w:left w:w="10" w:type="dxa"/>
            <w:bottom w:w="0" w:type="dxa"/>
            <w:right w:w="10" w:type="dxa"/>
          </w:tblCellMar>
        </w:tblPrEx>
        <w:trPr>
          <w:trHeight w:val="470" w:hRule="atLeast"/>
          <w:jc w:val="center"/>
        </w:trPr>
        <w:tc>
          <w:tcPr>
            <w:tcW w:w="436"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人员转移与安置</w:t>
            </w:r>
          </w:p>
        </w:tc>
        <w:tc>
          <w:tcPr>
            <w:tcW w:w="14728" w:type="dxa"/>
            <w:gridSpan w:val="2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转移安置主要负责人</w:t>
            </w:r>
          </w:p>
        </w:tc>
      </w:tr>
      <w:tr>
        <w:tblPrEx>
          <w:tblCellMar>
            <w:top w:w="0" w:type="dxa"/>
            <w:left w:w="10" w:type="dxa"/>
            <w:bottom w:w="0" w:type="dxa"/>
            <w:right w:w="10" w:type="dxa"/>
          </w:tblCellMar>
        </w:tblPrEx>
        <w:trPr>
          <w:trHeight w:val="551"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2"/>
                <w:szCs w:val="22"/>
              </w:rPr>
            </w:pPr>
          </w:p>
        </w:tc>
        <w:tc>
          <w:tcPr>
            <w:tcW w:w="4498" w:type="dxa"/>
            <w:gridSpan w:val="11"/>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县（市）</w:t>
            </w:r>
          </w:p>
        </w:tc>
        <w:tc>
          <w:tcPr>
            <w:tcW w:w="5748" w:type="dxa"/>
            <w:gridSpan w:val="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乡（镇）</w:t>
            </w:r>
          </w:p>
        </w:tc>
        <w:tc>
          <w:tcPr>
            <w:tcW w:w="4482"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村委会</w:t>
            </w:r>
          </w:p>
        </w:tc>
      </w:tr>
      <w:tr>
        <w:tblPrEx>
          <w:tblCellMar>
            <w:top w:w="0" w:type="dxa"/>
            <w:left w:w="10" w:type="dxa"/>
            <w:bottom w:w="0" w:type="dxa"/>
            <w:right w:w="10" w:type="dxa"/>
          </w:tblCellMar>
        </w:tblPrEx>
        <w:trPr>
          <w:trHeight w:val="340"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2"/>
                <w:szCs w:val="22"/>
              </w:rPr>
            </w:pPr>
          </w:p>
        </w:tc>
        <w:tc>
          <w:tcPr>
            <w:tcW w:w="1349"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643"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506"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667"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251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569"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651"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003"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828"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r>
      <w:tr>
        <w:tblPrEx>
          <w:tblCellMar>
            <w:top w:w="0" w:type="dxa"/>
            <w:left w:w="10" w:type="dxa"/>
            <w:bottom w:w="0" w:type="dxa"/>
            <w:right w:w="10" w:type="dxa"/>
          </w:tblCellMar>
        </w:tblPrEx>
        <w:trPr>
          <w:trHeight w:val="463"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2"/>
                <w:szCs w:val="22"/>
              </w:rPr>
            </w:pPr>
          </w:p>
        </w:tc>
        <w:tc>
          <w:tcPr>
            <w:tcW w:w="1349"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王天才</w:t>
            </w:r>
          </w:p>
        </w:tc>
        <w:tc>
          <w:tcPr>
            <w:tcW w:w="1643"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县委常委组织部长</w:t>
            </w:r>
          </w:p>
        </w:tc>
        <w:tc>
          <w:tcPr>
            <w:tcW w:w="150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13907985991</w:t>
            </w:r>
          </w:p>
        </w:tc>
        <w:tc>
          <w:tcPr>
            <w:tcW w:w="1667"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黄涵</w:t>
            </w:r>
          </w:p>
        </w:tc>
        <w:tc>
          <w:tcPr>
            <w:tcW w:w="251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武装部长</w:t>
            </w:r>
          </w:p>
        </w:tc>
        <w:tc>
          <w:tcPr>
            <w:tcW w:w="1569"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18107983555</w:t>
            </w:r>
          </w:p>
        </w:tc>
        <w:tc>
          <w:tcPr>
            <w:tcW w:w="1651"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杨家发</w:t>
            </w:r>
          </w:p>
        </w:tc>
        <w:tc>
          <w:tcPr>
            <w:tcW w:w="1003"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村主任</w:t>
            </w:r>
          </w:p>
        </w:tc>
        <w:tc>
          <w:tcPr>
            <w:tcW w:w="182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13979820365</w:t>
            </w:r>
          </w:p>
        </w:tc>
      </w:tr>
      <w:tr>
        <w:tblPrEx>
          <w:tblCellMar>
            <w:top w:w="0" w:type="dxa"/>
            <w:left w:w="10" w:type="dxa"/>
            <w:bottom w:w="0" w:type="dxa"/>
            <w:right w:w="10" w:type="dxa"/>
          </w:tblCellMar>
        </w:tblPrEx>
        <w:trPr>
          <w:trHeight w:val="616"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2"/>
                <w:szCs w:val="22"/>
              </w:rPr>
            </w:pPr>
          </w:p>
        </w:tc>
        <w:tc>
          <w:tcPr>
            <w:tcW w:w="953"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乡（镇）</w:t>
            </w:r>
          </w:p>
        </w:tc>
        <w:tc>
          <w:tcPr>
            <w:tcW w:w="727"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村委会</w:t>
            </w:r>
          </w:p>
        </w:tc>
        <w:tc>
          <w:tcPr>
            <w:tcW w:w="1737"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自然村</w:t>
            </w:r>
          </w:p>
        </w:tc>
        <w:tc>
          <w:tcPr>
            <w:tcW w:w="108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居住高程(m)</w:t>
            </w:r>
          </w:p>
        </w:tc>
        <w:tc>
          <w:tcPr>
            <w:tcW w:w="1206"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转移户数(户)</w:t>
            </w:r>
          </w:p>
        </w:tc>
        <w:tc>
          <w:tcPr>
            <w:tcW w:w="188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转移人口(人)</w:t>
            </w:r>
          </w:p>
        </w:tc>
        <w:tc>
          <w:tcPr>
            <w:tcW w:w="1289"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转移安置地</w:t>
            </w:r>
          </w:p>
        </w:tc>
        <w:tc>
          <w:tcPr>
            <w:tcW w:w="137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转移距离(km)</w:t>
            </w:r>
          </w:p>
        </w:tc>
        <w:tc>
          <w:tcPr>
            <w:tcW w:w="2654"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转移路线</w:t>
            </w:r>
          </w:p>
        </w:tc>
        <w:tc>
          <w:tcPr>
            <w:tcW w:w="1828"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转移交通工具</w:t>
            </w:r>
          </w:p>
        </w:tc>
      </w:tr>
      <w:tr>
        <w:tblPrEx>
          <w:tblCellMar>
            <w:top w:w="0" w:type="dxa"/>
            <w:left w:w="10" w:type="dxa"/>
            <w:bottom w:w="0" w:type="dxa"/>
            <w:right w:w="10" w:type="dxa"/>
          </w:tblCellMar>
        </w:tblPrEx>
        <w:trPr>
          <w:trHeight w:val="324" w:hRule="atLeast"/>
          <w:jc w:val="center"/>
        </w:trPr>
        <w:tc>
          <w:tcPr>
            <w:tcW w:w="436" w:type="dxa"/>
            <w:vMerge w:val="continue"/>
            <w:tcBorders>
              <w:top w:val="nil"/>
              <w:left w:val="single" w:color="000000" w:sz="4" w:space="0"/>
              <w:bottom w:val="nil"/>
              <w:right w:val="single" w:color="000000" w:sz="4" w:space="0"/>
            </w:tcBorders>
            <w:tcMar>
              <w:top w:w="0" w:type="dxa"/>
              <w:left w:w="108" w:type="dxa"/>
              <w:bottom w:w="0" w:type="dxa"/>
              <w:right w:w="108" w:type="dxa"/>
            </w:tcMar>
            <w:vAlign w:val="center"/>
          </w:tcPr>
          <w:p>
            <w:pPr>
              <w:jc w:val="center"/>
              <w:rPr>
                <w:rFonts w:hint="eastAsia" w:ascii="仿宋" w:hAnsi="仿宋" w:eastAsia="仿宋" w:cs="仿宋"/>
                <w:sz w:val="22"/>
                <w:szCs w:val="22"/>
              </w:rPr>
            </w:pPr>
          </w:p>
        </w:tc>
        <w:tc>
          <w:tcPr>
            <w:tcW w:w="95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湘湖镇</w:t>
            </w:r>
          </w:p>
        </w:tc>
        <w:tc>
          <w:tcPr>
            <w:tcW w:w="727"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东安村</w:t>
            </w:r>
          </w:p>
        </w:tc>
        <w:tc>
          <w:tcPr>
            <w:tcW w:w="1737"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小花桥</w:t>
            </w:r>
          </w:p>
        </w:tc>
        <w:tc>
          <w:tcPr>
            <w:tcW w:w="108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60</w:t>
            </w:r>
          </w:p>
        </w:tc>
        <w:tc>
          <w:tcPr>
            <w:tcW w:w="120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80</w:t>
            </w:r>
          </w:p>
        </w:tc>
        <w:tc>
          <w:tcPr>
            <w:tcW w:w="188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285</w:t>
            </w:r>
          </w:p>
        </w:tc>
        <w:tc>
          <w:tcPr>
            <w:tcW w:w="1289"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村后高地</w:t>
            </w:r>
          </w:p>
        </w:tc>
        <w:tc>
          <w:tcPr>
            <w:tcW w:w="1372"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0.1</w:t>
            </w:r>
          </w:p>
        </w:tc>
        <w:tc>
          <w:tcPr>
            <w:tcW w:w="2654"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就近</w:t>
            </w:r>
          </w:p>
        </w:tc>
        <w:tc>
          <w:tcPr>
            <w:tcW w:w="1828"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徒步</w:t>
            </w:r>
          </w:p>
        </w:tc>
      </w:tr>
    </w:tbl>
    <w:p/>
    <w:sectPr>
      <w:endnotePr>
        <w:numFmt w:val="decimal"/>
      </w:endnotePr>
      <w:pgSz w:w="16838" w:h="11906" w:orient="landscape"/>
      <w:pgMar w:top="720" w:right="720" w:bottom="720" w:left="7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0"/>
  <w:drawingGridVerticalSpacing w:val="156"/>
  <w:characterSpacingControl w:val="doNotCompress"/>
  <w:footnotePr>
    <w:footnote w:id="0"/>
    <w:footnote w:id="1"/>
  </w:footnotePr>
  <w:endnotePr>
    <w:numFmt w:val="decimal"/>
    <w:endnote w:id="0"/>
    <w:endnote w:id="1"/>
  </w:endnotePr>
  <w:compat>
    <w:doNotExpandShiftReturn/>
    <w:useFELayout/>
    <w:compatSetting w:name="compatibilityMode" w:uri="http://schemas.microsoft.com/office/word" w:val="12"/>
  </w:compat>
  <w:docVars>
    <w:docVar w:name="commondata" w:val="eyJoZGlkIjoiODZlMzQ1MjVkNzNiNmJmMDk2Y2NhNDBiMWEyYzViMDUifQ=="/>
  </w:docVars>
  <w:rsids>
    <w:rsidRoot w:val="005D4891"/>
    <w:rsid w:val="003A414F"/>
    <w:rsid w:val="005D4891"/>
    <w:rsid w:val="00812206"/>
    <w:rsid w:val="00864ABA"/>
    <w:rsid w:val="00893D35"/>
    <w:rsid w:val="009F5A63"/>
    <w:rsid w:val="00A37552"/>
    <w:rsid w:val="00C02088"/>
    <w:rsid w:val="00FD7E8C"/>
    <w:rsid w:val="1374261A"/>
    <w:rsid w:val="34270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EastAsia"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spacing w:line="360" w:lineRule="auto"/>
      <w:jc w:val="both"/>
    </w:pPr>
    <w:rPr>
      <w:rFonts w:ascii="Calibri" w:hAnsi="Calibri" w:cs="宋体" w:eastAsiaTheme="minorEastAsia"/>
      <w:kern w:val="1"/>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qFormat/>
    <w:uiPriority w:val="0"/>
    <w:pPr>
      <w:widowControl w:val="0"/>
      <w:pBdr>
        <w:top w:val="none" w:color="000000" w:sz="0" w:space="0"/>
        <w:left w:val="none" w:color="000000" w:sz="0" w:space="0"/>
        <w:bottom w:val="none" w:color="000000" w:sz="0" w:space="0"/>
        <w:right w:val="none" w:color="000000" w:sz="0" w:space="0"/>
        <w:between w:val="none" w:color="000000" w:sz="0" w:space="0"/>
      </w:pBdr>
      <w:spacing w:line="240" w:lineRule="auto"/>
      <w:jc w:val="both"/>
    </w:pPr>
    <w:rPr>
      <w:rFonts w:ascii="Calibri" w:hAnsi="Calibri" w:cs="宋体" w:eastAsiaTheme="minorEastAsia"/>
      <w:kern w:val="1"/>
      <w:sz w:val="18"/>
      <w:szCs w:val="18"/>
      <w:lang w:val="en-US" w:eastAsia="zh-CN" w:bidi="ar-SA"/>
    </w:rPr>
  </w:style>
  <w:style w:type="paragraph" w:styleId="3">
    <w:name w:val="footer"/>
    <w:basedOn w:val="1"/>
    <w:link w:val="18"/>
    <w:semiHidden/>
    <w:unhideWhenUsed/>
    <w:uiPriority w:val="99"/>
    <w:pPr>
      <w:tabs>
        <w:tab w:val="center" w:pos="4153"/>
        <w:tab w:val="right" w:pos="8306"/>
      </w:tabs>
      <w:snapToGrid w:val="0"/>
      <w:spacing w:line="240" w:lineRule="auto"/>
      <w:jc w:val="left"/>
    </w:pPr>
    <w:rPr>
      <w:sz w:val="18"/>
      <w:szCs w:val="18"/>
    </w:rPr>
  </w:style>
  <w:style w:type="paragraph" w:styleId="4">
    <w:name w:val="header"/>
    <w:basedOn w:val="1"/>
    <w:link w:val="17"/>
    <w:semiHidden/>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List Paragraph"/>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360" w:lineRule="auto"/>
      <w:ind w:firstLine="420"/>
      <w:jc w:val="both"/>
    </w:pPr>
    <w:rPr>
      <w:rFonts w:ascii="Calibri" w:hAnsi="Calibri" w:cs="宋体" w:eastAsiaTheme="minorEastAsia"/>
      <w:kern w:val="1"/>
      <w:sz w:val="24"/>
      <w:szCs w:val="24"/>
      <w:lang w:val="en-US" w:eastAsia="zh-CN" w:bidi="ar-SA"/>
    </w:rPr>
  </w:style>
  <w:style w:type="paragraph" w:customStyle="1" w:styleId="8">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spacing w:line="240" w:lineRule="auto"/>
      <w:jc w:val="center"/>
    </w:pPr>
    <w:rPr>
      <w:rFonts w:ascii="Calibri" w:hAnsi="Calibri" w:cs="宋体" w:eastAsiaTheme="minorEastAsia"/>
      <w:kern w:val="1"/>
      <w:sz w:val="18"/>
      <w:szCs w:val="18"/>
      <w:lang w:val="en-US" w:eastAsia="zh-CN" w:bidi="ar-SA"/>
    </w:rPr>
  </w:style>
  <w:style w:type="paragraph" w:customStyle="1" w:styleId="9">
    <w:name w:val="Footer"/>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spacing w:line="240" w:lineRule="auto"/>
      <w:jc w:val="left"/>
    </w:pPr>
    <w:rPr>
      <w:rFonts w:ascii="Calibri" w:hAnsi="Calibri" w:cs="宋体" w:eastAsiaTheme="minorEastAsia"/>
      <w:kern w:val="1"/>
      <w:sz w:val="18"/>
      <w:szCs w:val="18"/>
      <w:lang w:val="en-US" w:eastAsia="zh-CN" w:bidi="ar-SA"/>
    </w:rPr>
  </w:style>
  <w:style w:type="paragraph" w:customStyle="1" w:styleId="10">
    <w:name w:val="Header1"/>
    <w:qFormat/>
    <w:uiPriority w:val="0"/>
    <w:pPr>
      <w:widowControl w:val="0"/>
      <w:pBdr>
        <w:top w:val="none" w:color="000000" w:sz="0" w:space="0"/>
        <w:left w:val="none" w:color="000000" w:sz="0" w:space="0"/>
        <w:bottom w:val="single" w:color="000000" w:sz="6" w:space="1"/>
        <w:right w:val="none" w:color="000000" w:sz="0" w:space="0"/>
        <w:between w:val="none" w:color="000000" w:sz="0" w:space="0"/>
      </w:pBdr>
      <w:tabs>
        <w:tab w:val="center" w:pos="4153"/>
        <w:tab w:val="right" w:pos="8306"/>
      </w:tabs>
      <w:spacing w:line="240" w:lineRule="auto"/>
      <w:jc w:val="center"/>
    </w:pPr>
    <w:rPr>
      <w:rFonts w:ascii="Calibri" w:hAnsi="Calibri" w:cs="宋体" w:eastAsiaTheme="minorEastAsia"/>
      <w:kern w:val="1"/>
      <w:sz w:val="18"/>
      <w:szCs w:val="18"/>
      <w:lang w:val="en-US" w:eastAsia="zh-CN" w:bidi="ar-SA"/>
    </w:rPr>
  </w:style>
  <w:style w:type="paragraph" w:customStyle="1" w:styleId="11">
    <w:name w:val="Footer1"/>
    <w:qFormat/>
    <w:uiPriority w:val="0"/>
    <w:pPr>
      <w:widowControl w:val="0"/>
      <w:pBdr>
        <w:top w:val="none" w:color="000000" w:sz="0" w:space="0"/>
        <w:left w:val="none" w:color="000000" w:sz="0" w:space="0"/>
        <w:bottom w:val="none" w:color="000000" w:sz="0" w:space="0"/>
        <w:right w:val="none" w:color="000000" w:sz="0" w:space="0"/>
        <w:between w:val="none" w:color="000000" w:sz="0" w:space="0"/>
      </w:pBdr>
      <w:tabs>
        <w:tab w:val="center" w:pos="4153"/>
        <w:tab w:val="right" w:pos="8306"/>
      </w:tabs>
      <w:spacing w:line="240" w:lineRule="auto"/>
      <w:jc w:val="left"/>
    </w:pPr>
    <w:rPr>
      <w:rFonts w:ascii="Calibri" w:hAnsi="Calibri" w:cs="宋体" w:eastAsiaTheme="minorEastAsia"/>
      <w:kern w:val="1"/>
      <w:sz w:val="18"/>
      <w:szCs w:val="18"/>
      <w:lang w:val="en-US" w:eastAsia="zh-CN" w:bidi="ar-SA"/>
    </w:rPr>
  </w:style>
  <w:style w:type="character" w:customStyle="1" w:styleId="12">
    <w:name w:val="页眉 Char"/>
    <w:uiPriority w:val="0"/>
    <w:rPr>
      <w:sz w:val="18"/>
      <w:szCs w:val="18"/>
    </w:rPr>
  </w:style>
  <w:style w:type="character" w:customStyle="1" w:styleId="13">
    <w:name w:val="页脚 Char"/>
    <w:autoRedefine/>
    <w:qFormat/>
    <w:uiPriority w:val="0"/>
    <w:rPr>
      <w:sz w:val="18"/>
      <w:szCs w:val="18"/>
    </w:rPr>
  </w:style>
  <w:style w:type="character" w:customStyle="1" w:styleId="14">
    <w:name w:val="页眉 Char1"/>
    <w:autoRedefine/>
    <w:qFormat/>
    <w:uiPriority w:val="0"/>
    <w:rPr>
      <w:sz w:val="18"/>
      <w:szCs w:val="18"/>
    </w:rPr>
  </w:style>
  <w:style w:type="character" w:customStyle="1" w:styleId="15">
    <w:name w:val="页脚 Char1"/>
    <w:autoRedefine/>
    <w:qFormat/>
    <w:uiPriority w:val="0"/>
    <w:rPr>
      <w:sz w:val="18"/>
      <w:szCs w:val="18"/>
    </w:rPr>
  </w:style>
  <w:style w:type="character" w:customStyle="1" w:styleId="16">
    <w:name w:val="批注框文本 Char"/>
    <w:autoRedefine/>
    <w:qFormat/>
    <w:uiPriority w:val="0"/>
    <w:rPr>
      <w:sz w:val="18"/>
      <w:szCs w:val="18"/>
    </w:rPr>
  </w:style>
  <w:style w:type="character" w:customStyle="1" w:styleId="17">
    <w:name w:val="页眉 Char2"/>
    <w:basedOn w:val="6"/>
    <w:link w:val="4"/>
    <w:autoRedefine/>
    <w:semiHidden/>
    <w:qFormat/>
    <w:uiPriority w:val="99"/>
    <w:rPr>
      <w:sz w:val="18"/>
      <w:szCs w:val="18"/>
    </w:rPr>
  </w:style>
  <w:style w:type="character" w:customStyle="1" w:styleId="18">
    <w:name w:val="页脚 Char2"/>
    <w:basedOn w:val="6"/>
    <w:link w:val="3"/>
    <w:autoRedefine/>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majorFont>
      <a:minorFont>
        <a:latin typeface="Calibri"/>
        <a:ea typeface="宋体"/>
        <a:cs typeface="宋体"/>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567</Words>
  <Characters>3235</Characters>
  <Lines>26</Lines>
  <Paragraphs>7</Paragraphs>
  <TotalTime>0</TotalTime>
  <ScaleCrop>false</ScaleCrop>
  <LinksUpToDate>false</LinksUpToDate>
  <CharactersWithSpaces>3795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2018-05-24T06:20:00Z</dcterms:created>
  <dc:creator>Administrator</dc:creator>
  <cp:lastModifiedBy>浮梁县</cp:lastModifiedBy>
  <cp:lastPrinted>2018-05-21T08:01:00Z</cp:lastPrinted>
  <dcterms:modified xsi:type="dcterms:W3CDTF">2024-03-13T15:28:02Z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A996240C28C74944AEC6D96D130470E6_12</vt:lpwstr>
  </property>
</Properties>
</file>